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1636A">
      <w:pPr>
        <w:pStyle w:val="25"/>
        <w:jc w:val="center"/>
      </w:pPr>
      <w:r>
        <w:rPr>
          <w:rFonts w:ascii="Arial" w:hAnsi="Arial"/>
        </w:rPr>
        <w:t>ДОГОВОР-ОФЕРТА</w:t>
      </w:r>
    </w:p>
    <w:p w14:paraId="26989860">
      <w:pPr>
        <w:jc w:val="center"/>
      </w:pPr>
      <w:r>
        <w:rPr>
          <w:rFonts w:ascii="Arial" w:hAnsi="Arial"/>
          <w:b/>
          <w:sz w:val="18"/>
        </w:rPr>
        <w:t>«ТАНЖЕРИН»  |  tangerin.ru</w:t>
      </w:r>
    </w:p>
    <w:p w14:paraId="1D021BD0">
      <w:r>
        <w:rPr>
          <w:rFonts w:ascii="Arial" w:hAnsi="Arial"/>
          <w:color w:val="2B3531"/>
          <w:sz w:val="18"/>
        </w:rPr>
        <w:t xml:space="preserve">Редакция от </w:t>
      </w:r>
      <w:r>
        <w:rPr>
          <w:rFonts w:hint="default"/>
          <w:color w:val="2B3531"/>
          <w:sz w:val="18"/>
          <w:lang w:val="ru-RU"/>
        </w:rPr>
        <w:t>01</w:t>
      </w:r>
      <w:r>
        <w:rPr>
          <w:rFonts w:ascii="Arial" w:hAnsi="Arial"/>
          <w:color w:val="2B3531"/>
          <w:sz w:val="18"/>
        </w:rPr>
        <w:t>.</w:t>
      </w:r>
      <w:r>
        <w:rPr>
          <w:rFonts w:hint="default"/>
          <w:color w:val="2B3531"/>
          <w:sz w:val="18"/>
          <w:lang w:val="ru-RU"/>
        </w:rPr>
        <w:t>09</w:t>
      </w:r>
      <w:r>
        <w:rPr>
          <w:rFonts w:ascii="Arial" w:hAnsi="Arial"/>
          <w:color w:val="2B3531"/>
          <w:sz w:val="18"/>
        </w:rPr>
        <w:t>.2026. Адрес размещения: tangerin.ru. Применяется к бронированиям, подтверждённым после публикации этой редакции.</w:t>
      </w:r>
    </w:p>
    <w:p w14:paraId="40F03105">
      <w:pPr>
        <w:pStyle w:val="2"/>
      </w:pPr>
      <w:r>
        <w:rPr>
          <w:rFonts w:ascii="Arial" w:hAnsi="Arial"/>
        </w:rPr>
        <w:t>1. Термины и стороны</w:t>
      </w:r>
    </w:p>
    <w:p w14:paraId="30381BE4">
      <w:pPr>
        <w:jc w:val="both"/>
        <w:rPr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1.1. Исполнитель — </w:t>
      </w:r>
      <w:r>
        <w:rPr>
          <w:sz w:val="18"/>
          <w:szCs w:val="18"/>
          <w:lang w:val="ru-RU"/>
        </w:rPr>
        <w:t>Яковлев</w:t>
      </w:r>
      <w:r>
        <w:rPr>
          <w:rFonts w:hint="default"/>
          <w:sz w:val="18"/>
          <w:szCs w:val="18"/>
          <w:lang w:val="ru-RU"/>
        </w:rPr>
        <w:t xml:space="preserve"> Андрей Николаевич, ИНН 440111523299</w:t>
      </w:r>
      <w:r>
        <w:rPr>
          <w:rFonts w:ascii="Arial" w:hAnsi="Arial"/>
          <w:sz w:val="18"/>
          <w:szCs w:val="18"/>
        </w:rPr>
        <w:t>, действующ</w:t>
      </w:r>
      <w:r>
        <w:rPr>
          <w:sz w:val="18"/>
          <w:szCs w:val="18"/>
          <w:lang w:val="ru-RU"/>
        </w:rPr>
        <w:t>ий</w:t>
      </w:r>
      <w:r>
        <w:rPr>
          <w:rFonts w:ascii="Arial" w:hAnsi="Arial"/>
          <w:sz w:val="18"/>
          <w:szCs w:val="18"/>
        </w:rPr>
        <w:t xml:space="preserve"> в соответствии с законодательством Российской Федерации. Контактные данные опубликованы на сайте tangerin.ru.</w:t>
      </w:r>
    </w:p>
    <w:p w14:paraId="7C218193">
      <w:pPr>
        <w:pStyle w:val="30"/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1.2. </w:t>
      </w:r>
      <w:r>
        <w:rPr>
          <w:rFonts w:hint="default" w:ascii="Arial" w:hAnsi="Arial" w:cs="Arial"/>
          <w:sz w:val="18"/>
          <w:szCs w:val="18"/>
        </w:rPr>
        <w:t>Гость — совершеннолетнее физическое лицо, оформляющее бронирование для себя и сопровождающих лиц и принимающее условия Оферты. Проживающие — лица, указанные Гостем в подтверждённом бронировании, включая детей.</w:t>
      </w:r>
      <w:r>
        <w:rPr>
          <w:rFonts w:hint="default" w:ascii="Arial" w:hAnsi="Arial" w:cs="Arial"/>
          <w:sz w:val="18"/>
          <w:szCs w:val="18"/>
          <w:lang w:val="ru-RU"/>
        </w:rPr>
        <w:t xml:space="preserve"> </w:t>
      </w:r>
      <w:r>
        <w:rPr>
          <w:rFonts w:hint="default" w:ascii="Arial" w:hAnsi="Arial" w:cs="Arial"/>
          <w:sz w:val="18"/>
          <w:szCs w:val="18"/>
        </w:rPr>
        <w:t>Настоящий договор-оферта предназначен для физических лиц, бронирующих и оплачивающих проживание для личных, семейных и иных нужд, не связанных с осуществлением предпринимательской деятельности.</w:t>
      </w:r>
    </w:p>
    <w:p w14:paraId="1F804B57">
      <w:pPr>
        <w:pStyle w:val="30"/>
        <w:keepNext w:val="0"/>
        <w:keepLines w:val="0"/>
        <w:widowControl/>
        <w:suppressLineNumbers w:val="0"/>
        <w:ind w:firstLine="180" w:firstLineChars="100"/>
        <w:jc w:val="both"/>
        <w:rPr>
          <w:rFonts w:hint="default" w:ascii="Arial" w:hAnsi="Arial" w:cs="Arial"/>
          <w:b w:val="0"/>
          <w:bCs w:val="0"/>
          <w:sz w:val="18"/>
          <w:szCs w:val="18"/>
        </w:rPr>
      </w:pPr>
      <w:bookmarkStart w:id="0" w:name="_GoBack"/>
      <w:bookmarkEnd w:id="0"/>
      <w:r>
        <w:rPr>
          <w:rFonts w:hint="default" w:ascii="Arial" w:hAnsi="Arial" w:cs="Arial"/>
          <w:b w:val="0"/>
          <w:bCs w:val="0"/>
          <w:sz w:val="18"/>
          <w:szCs w:val="18"/>
        </w:rPr>
        <w:t>Для юридических лиц и индивидуальных предпринимателей, оформляющих проживание сотрудников или иных лиц в рамках деятельности организации или предпринимателя, порядок оплаты и оформления документов согласовываются отдельно. В таких случаях заключается отдельный договор с индивидуальным предпринимателем, с предоставлением необходимых платёжных и отчётных документов в соответствии с применимыми требованиями законодательства.</w:t>
      </w:r>
    </w:p>
    <w:p w14:paraId="18027A38">
      <w:pPr>
        <w:jc w:val="both"/>
        <w:rPr>
          <w:sz w:val="18"/>
          <w:szCs w:val="18"/>
        </w:rPr>
      </w:pPr>
      <w:r>
        <w:rPr>
          <w:rFonts w:ascii="Arial" w:hAnsi="Arial"/>
          <w:sz w:val="18"/>
          <w:szCs w:val="18"/>
        </w:rPr>
        <w:t>1.3. Дом — предоставляемое для проживания</w:t>
      </w:r>
      <w:r>
        <w:rPr>
          <w:rFonts w:hint="default"/>
          <w:sz w:val="18"/>
          <w:szCs w:val="18"/>
          <w:lang w:val="ru-RU"/>
        </w:rPr>
        <w:t xml:space="preserve"> жилое </w:t>
      </w:r>
      <w:r>
        <w:rPr>
          <w:rFonts w:ascii="Arial" w:hAnsi="Arial"/>
          <w:sz w:val="18"/>
          <w:szCs w:val="18"/>
        </w:rPr>
        <w:t xml:space="preserve"> помещение по адресу: г. Кострома, ул. Октябрьская, д. 45А, идентифицируемое условным названием «Цитрус», «Лайм» или «Лимон» и соответствующим описанием, планировкой и фотографиями в подтверждённом бронировании. Указанные названия служат для определения согласованного помещения и не означают существования трёх самостоятельных объектов недвижимости.</w:t>
      </w:r>
    </w:p>
    <w:p w14:paraId="78491909">
      <w:pPr>
        <w:jc w:val="both"/>
        <w:rPr>
          <w:sz w:val="18"/>
          <w:szCs w:val="18"/>
        </w:rPr>
      </w:pPr>
      <w:r>
        <w:rPr>
          <w:rFonts w:ascii="Arial" w:hAnsi="Arial"/>
          <w:sz w:val="18"/>
          <w:szCs w:val="18"/>
        </w:rPr>
        <w:t>1.4. Бронирование — согласованные дом, даты, количество и возраст проживающих, стоимость и дополнительные условия, зафиксированные в подтверждении. Агрегатор — сторонний сервис бронирования.</w:t>
      </w:r>
    </w:p>
    <w:p w14:paraId="620A7766">
      <w:pPr>
        <w:pStyle w:val="2"/>
        <w:jc w:val="both"/>
      </w:pPr>
      <w:r>
        <w:rPr>
          <w:rFonts w:ascii="Arial" w:hAnsi="Arial"/>
        </w:rPr>
        <w:t>2. Общие положения и заключение договора</w:t>
      </w:r>
    </w:p>
    <w:p w14:paraId="60B66EB0">
      <w:pPr>
        <w:jc w:val="both"/>
      </w:pPr>
      <w:r>
        <w:rPr>
          <w:rFonts w:ascii="Arial" w:hAnsi="Arial"/>
          <w:sz w:val="18"/>
        </w:rPr>
        <w:t>2.1. Настоящий Договор-оферта является предложением заключить договор о предоставлении Дома для краткосрочного проживания за плату на условиях настоящего документа, приложений и подтверждения бронирования. Правовая природа отношений определяется содержанием и фактическим способом предоставления жилья в соответствии с законодательством Российской Федерации.</w:t>
      </w:r>
    </w:p>
    <w:p w14:paraId="7A12C80F">
      <w:pPr>
        <w:jc w:val="both"/>
      </w:pPr>
      <w:r>
        <w:rPr>
          <w:rFonts w:ascii="Arial" w:hAnsi="Arial"/>
          <w:sz w:val="18"/>
        </w:rPr>
        <w:t>2.2. До оплаты Гостю сообщаются сведения об Исполнителе, помещении, датах, составе проживающих, итоговой цене, размере предоплаты и действующей редакции Оферты.</w:t>
      </w:r>
    </w:p>
    <w:p w14:paraId="0DFF80E3">
      <w:pPr>
        <w:jc w:val="both"/>
      </w:pPr>
      <w:r>
        <w:rPr>
          <w:rFonts w:ascii="Arial" w:hAnsi="Arial"/>
          <w:sz w:val="18"/>
        </w:rPr>
        <w:t>2.3. Заявка может быть направлена через сайт tangerin.ru, по телефону, в мессенджере или через агрегатор. После проверки доступности Исполнитель направляет подтверждение с реквизитами оплаты. Акцептом выступает внесение предусмотренной предоплаты после получения названных сведений; договор считается заключённым после подтверждения оплаты и бронирования Исполнителем. При электронном оформлении сохраняются сведения, позволяющие определить стороны, текст условий и волеизъявление Гостя.</w:t>
      </w:r>
    </w:p>
    <w:p w14:paraId="4B3020BF">
      <w:pPr>
        <w:jc w:val="both"/>
      </w:pPr>
      <w:r>
        <w:rPr>
          <w:rFonts w:ascii="Arial" w:hAnsi="Arial"/>
          <w:sz w:val="18"/>
        </w:rPr>
        <w:t>2.4. При использовании агрегаторов порядок платежей и отмены может отличаться в пределах обязательных требований законодательства; применяются условия, показанные гостю до оплаты. Правила пользования Домом распространяются на проживающих независимо от канала бронирования.</w:t>
      </w:r>
    </w:p>
    <w:p w14:paraId="771503B2">
      <w:pPr>
        <w:jc w:val="both"/>
      </w:pPr>
      <w:r>
        <w:rPr>
          <w:rFonts w:ascii="Arial" w:hAnsi="Arial"/>
          <w:sz w:val="18"/>
        </w:rPr>
        <w:t>2.5. Неотъемлемые документы: Приложение № 1 — «Правила проживания ТАНЖЕРИН»; Приложение № 2 — «Условия бронирования, оплаты и отмены бронирования». Они доступны до акцепта. Действует редакция, предоставленная при оформлении бронирования; новые редакции не изменяют уже заключённые договоры без соглашения сторон.</w:t>
      </w:r>
    </w:p>
    <w:p w14:paraId="1F7C7379">
      <w:pPr>
        <w:pStyle w:val="2"/>
        <w:jc w:val="both"/>
      </w:pPr>
      <w:r>
        <w:rPr>
          <w:rFonts w:ascii="Arial" w:hAnsi="Arial"/>
        </w:rPr>
        <w:t>3. Предмет договора и состав проживающих</w:t>
      </w:r>
    </w:p>
    <w:p w14:paraId="41F6B59E">
      <w:pPr>
        <w:jc w:val="both"/>
      </w:pPr>
      <w:r>
        <w:rPr>
          <w:rFonts w:ascii="Arial" w:hAnsi="Arial"/>
          <w:sz w:val="18"/>
        </w:rPr>
        <w:t>3.1. Исполнитель предоставляет Гостю за плату Дом (гостевой дом «ТАНЖЕРИН») по адресу: г. Кострома, ул. Октябрьская, д. 45А, для краткосрочного проживания на период, указанный в подтверждении бронирования. Условное наименование выбранного дома: «Цитрус», «Лайм» или «Лимон». Дом передаётся пригодным для проживания, с согласованным оснащением.</w:t>
      </w:r>
    </w:p>
    <w:p w14:paraId="7F88AA84">
      <w:pPr>
        <w:jc w:val="both"/>
      </w:pPr>
      <w:r>
        <w:rPr>
          <w:rFonts w:ascii="Arial" w:hAnsi="Arial"/>
          <w:sz w:val="18"/>
        </w:rPr>
        <w:t>3.2. В бронировании указываются все проживающие: число взрослых, число и возраст детей, наличие животных. Дети младше 1 года проживают бесплатно без отдельного спального места; они также учитываются при указании общего количества людей.</w:t>
      </w:r>
    </w:p>
    <w:p w14:paraId="1DEC811E">
      <w:pPr>
        <w:jc w:val="both"/>
      </w:pPr>
      <w:r>
        <w:rPr>
          <w:rFonts w:ascii="Arial" w:hAnsi="Arial"/>
          <w:sz w:val="18"/>
        </w:rPr>
        <w:t>3.3. Прибытие дополнительных проживающих и посещение лиц, не проживающих в Доме, допускаются только по предварительному согласованию. Посещение оплачивается по 600 руб. за человека за каждый визит, заранее либо при прибытии посетителя.</w:t>
      </w:r>
    </w:p>
    <w:p w14:paraId="5DD49F83">
      <w:pPr>
        <w:pStyle w:val="2"/>
        <w:jc w:val="both"/>
      </w:pPr>
      <w:r>
        <w:rPr>
          <w:rFonts w:ascii="Arial" w:hAnsi="Arial"/>
        </w:rPr>
        <w:t>4. Период бронирования, заезд и выезд</w:t>
      </w:r>
    </w:p>
    <w:p w14:paraId="6D3D1950">
      <w:pPr>
        <w:jc w:val="both"/>
      </w:pPr>
      <w:r>
        <w:rPr>
          <w:rFonts w:ascii="Arial" w:hAnsi="Arial"/>
          <w:sz w:val="18"/>
        </w:rPr>
        <w:t>4.1. Период бронирования (проживания) и количество суток указаны в подтверждении. Заезд — с 15:00, выезд — до 12:00 по местному времени.</w:t>
      </w:r>
    </w:p>
    <w:p w14:paraId="74ECD5B3">
      <w:pPr>
        <w:jc w:val="both"/>
      </w:pPr>
      <w:r>
        <w:rPr>
          <w:rFonts w:ascii="Arial" w:hAnsi="Arial"/>
          <w:sz w:val="18"/>
        </w:rPr>
        <w:t>4.2. Накануне или в день заезда гостю направляется схема проезда и согласовывается время прибытия. При заселении Гость предъявляет документ, удостоверяющий личность, окончательно оплачивает проживание и вносит обеспечительный платёж.</w:t>
      </w:r>
    </w:p>
    <w:p w14:paraId="33084694">
      <w:pPr>
        <w:jc w:val="both"/>
      </w:pPr>
      <w:r>
        <w:rPr>
          <w:rFonts w:ascii="Arial" w:hAnsi="Arial"/>
          <w:sz w:val="18"/>
        </w:rPr>
        <w:t>4.3. Ранний заезд и поздний выезд — только по предварительному согласованию при наличии возможности; цена каждого — 60% стоимости первых суток, но не менее 5 000 руб. За фактическое пользование после 12:00 без согласования предусмотрена плата 1 000 руб. за каждый начатый час задержки при условии допустимости и соразмерности соответствующего начисления.</w:t>
      </w:r>
    </w:p>
    <w:p w14:paraId="2B21BF0C">
      <w:pPr>
        <w:jc w:val="both"/>
      </w:pPr>
      <w:r>
        <w:rPr>
          <w:rFonts w:ascii="Arial" w:hAnsi="Arial"/>
          <w:sz w:val="18"/>
        </w:rPr>
        <w:t>4.4. При выезде Гость сообщает о замеченных повреждениях и неисправностях, выключает свет и неиспользуемые электроприборы, закрывает окна и входную дверь на ключ, оставляет ключи на столе на веранде и прикрывает калитку. Сообщать о самом факте выезда не требуется.</w:t>
      </w:r>
    </w:p>
    <w:p w14:paraId="636E6D32">
      <w:pPr>
        <w:pStyle w:val="2"/>
        <w:jc w:val="both"/>
      </w:pPr>
      <w:r>
        <w:rPr>
          <w:rFonts w:ascii="Arial" w:hAnsi="Arial"/>
        </w:rPr>
        <w:t>5. Цена и порядок расчётов</w:t>
      </w:r>
    </w:p>
    <w:p w14:paraId="58023107">
      <w:pPr>
        <w:jc w:val="both"/>
      </w:pPr>
      <w:r>
        <w:rPr>
          <w:rFonts w:ascii="Arial" w:hAnsi="Arial"/>
          <w:sz w:val="18"/>
        </w:rPr>
        <w:t>5.1. Общая стоимость устанавливается в подтверждении бронирования и зависит от выбранного Дома, дат и количества гостей. Утверждённая сторонами стоимость не меняется задним числом без основания, предусмотренного законом или соглашением.</w:t>
      </w:r>
    </w:p>
    <w:p w14:paraId="522902C0">
      <w:pPr>
        <w:jc w:val="both"/>
      </w:pPr>
      <w:r>
        <w:rPr>
          <w:rFonts w:ascii="Arial" w:hAnsi="Arial"/>
          <w:sz w:val="18"/>
        </w:rPr>
        <w:t>5.2. Предоплата составляет</w:t>
      </w:r>
      <w:r>
        <w:rPr>
          <w:rFonts w:hint="default"/>
          <w:sz w:val="18"/>
          <w:lang w:val="ru-RU"/>
        </w:rPr>
        <w:t xml:space="preserve"> стоимость первой  ночи </w:t>
      </w:r>
      <w:r>
        <w:rPr>
          <w:rFonts w:ascii="Arial" w:hAnsi="Arial"/>
          <w:sz w:val="18"/>
        </w:rPr>
        <w:t xml:space="preserve"> </w:t>
      </w:r>
      <w:r>
        <w:rPr>
          <w:sz w:val="18"/>
          <w:lang w:val="ru-RU"/>
        </w:rPr>
        <w:t>проживания</w:t>
      </w:r>
      <w:r>
        <w:rPr>
          <w:rFonts w:ascii="Arial" w:hAnsi="Arial"/>
          <w:sz w:val="18"/>
        </w:rPr>
        <w:t xml:space="preserve">. Оставшиеся </w:t>
      </w:r>
      <w:r>
        <w:rPr>
          <w:sz w:val="18"/>
          <w:lang w:val="ru-RU"/>
        </w:rPr>
        <w:t>сумма</w:t>
      </w:r>
      <w:r>
        <w:rPr>
          <w:rFonts w:hint="default"/>
          <w:sz w:val="18"/>
          <w:lang w:val="ru-RU"/>
        </w:rPr>
        <w:t xml:space="preserve"> </w:t>
      </w:r>
      <w:r>
        <w:rPr>
          <w:rFonts w:ascii="Arial" w:hAnsi="Arial"/>
          <w:sz w:val="18"/>
        </w:rPr>
        <w:t xml:space="preserve"> оплачива</w:t>
      </w:r>
      <w:r>
        <w:rPr>
          <w:sz w:val="18"/>
          <w:lang w:val="ru-RU"/>
        </w:rPr>
        <w:t>е</w:t>
      </w:r>
      <w:r>
        <w:rPr>
          <w:rFonts w:ascii="Arial" w:hAnsi="Arial"/>
          <w:sz w:val="18"/>
        </w:rPr>
        <w:t>тся при заезде. Платёжные документы предоставляет лицо, фактически получающее оплату, в соответствии со своим налоговым статусом и законом.</w:t>
      </w:r>
    </w:p>
    <w:p w14:paraId="6DDE5CCB">
      <w:pPr>
        <w:jc w:val="both"/>
      </w:pPr>
      <w:r>
        <w:rPr>
          <w:rFonts w:ascii="Arial" w:hAnsi="Arial"/>
          <w:sz w:val="18"/>
        </w:rPr>
        <w:t>5.3. При заезде вносится возвратный обеспечительный платёж (страховой депозит) 5 000 руб. Депозит не является платой за проживание и возвращается в день выезда после уборки и осмотра Дома, не позднее 23:59. Вопросы возмещения установленного ущерба и невыполненных обязательств разрешаются в порядке, предусмотренном законодательством; удержание должно иметь документально подтверждённое основание.</w:t>
      </w:r>
    </w:p>
    <w:p w14:paraId="1E86F239">
      <w:pPr>
        <w:pStyle w:val="2"/>
        <w:jc w:val="both"/>
      </w:pPr>
      <w:r>
        <w:rPr>
          <w:rFonts w:ascii="Arial" w:hAnsi="Arial"/>
        </w:rPr>
        <w:t>6. Отмена и возврат предоплаты</w:t>
      </w:r>
    </w:p>
    <w:p w14:paraId="4B3F3481">
      <w:pPr>
        <w:jc w:val="both"/>
      </w:pPr>
      <w:r>
        <w:rPr>
          <w:rFonts w:ascii="Arial" w:hAnsi="Arial"/>
          <w:color w:val="2B3531"/>
          <w:sz w:val="18"/>
        </w:rPr>
        <w:t>6.1. Для обычных дат бесплатная отмена возможна не позднее чем за 7 календарных суток до даты заезда, а для новогодних и майских праздничных периодов —</w:t>
      </w:r>
      <w:r>
        <w:rPr>
          <w:rFonts w:hint="default"/>
          <w:color w:val="2B3531"/>
          <w:sz w:val="18"/>
          <w:lang w:val="ru-RU"/>
        </w:rPr>
        <w:t xml:space="preserve"> по согласованию сторон. </w:t>
      </w:r>
      <w:r>
        <w:rPr>
          <w:rFonts w:ascii="Arial" w:hAnsi="Arial"/>
          <w:color w:val="2B3531"/>
          <w:sz w:val="18"/>
        </w:rPr>
        <w:t>. Применимость праздничного периода и крайняя дата отмены указываются в подтверждении бронирования до оплаты. При своевременной отмене вся предоплата возвращается; перечисление возврата осуществляется в течение 3 рабочих дней на исходные платёжные реквизиты.</w:t>
      </w:r>
    </w:p>
    <w:p w14:paraId="66F8E9ED">
      <w:pPr>
        <w:jc w:val="both"/>
      </w:pPr>
      <w:r>
        <w:rPr>
          <w:rFonts w:ascii="Arial" w:hAnsi="Arial"/>
          <w:color w:val="2B3531"/>
          <w:sz w:val="18"/>
        </w:rPr>
        <w:t xml:space="preserve">6.2. При отмене позднее применимого срока, если отменённые даты будут повторно забронированы другими гостями на тот же период и новое бронирование подтверждено предоплатой, Исполнитель возвращает первоначальному Гостю всю внесённую предоплату в течение 3 рабочих дней после подтверждения новой брони. </w:t>
      </w:r>
      <w:r>
        <w:rPr>
          <w:rFonts w:ascii="Arial" w:hAnsi="Arial"/>
          <w:sz w:val="18"/>
        </w:rPr>
        <w:t>6.3. Гость может сообщить об отмене по тому же каналу связи, по которому оформлялось бронирование, либо по официальному контакту Исполнителя, указанному в подтверждении. Отказ и возврат подлежат фиксации.</w:t>
      </w:r>
    </w:p>
    <w:p w14:paraId="1C832D23">
      <w:pPr>
        <w:pStyle w:val="2"/>
        <w:jc w:val="both"/>
      </w:pPr>
      <w:r>
        <w:rPr>
          <w:rFonts w:ascii="Arial" w:hAnsi="Arial"/>
        </w:rPr>
        <w:t>7. Перенос бронирования и изменение состава гостей</w:t>
      </w:r>
    </w:p>
    <w:p w14:paraId="47F99C4F">
      <w:pPr>
        <w:jc w:val="both"/>
      </w:pPr>
      <w:r>
        <w:rPr>
          <w:rFonts w:ascii="Arial" w:hAnsi="Arial"/>
          <w:color w:val="2B3531"/>
          <w:sz w:val="18"/>
        </w:rPr>
        <w:t>7.1. Изменение дат проживания и количества гостей возможно по предварительному согласованию не позднее чем за 3 календарных суток до заезда, при наличии возможности размещения. В день заезда и в период проживания уменьшение фактического количества гостей не является основанием для автоматического перерасчёта ранее согласованной стоимости.</w:t>
      </w:r>
    </w:p>
    <w:p w14:paraId="12F281FB">
      <w:pPr>
        <w:jc w:val="both"/>
      </w:pPr>
      <w:r>
        <w:rPr>
          <w:rFonts w:ascii="Arial" w:hAnsi="Arial"/>
          <w:color w:val="2B3531"/>
          <w:sz w:val="18"/>
        </w:rPr>
        <w:t>7.2. При согласованном изменении дат или количества гостей стоимость пересчитывается по тарифам, действующим для новых условий бронирования; в частности, стоимость на выходные и праздничные даты может отличаться от стоимости в будни. Дополнительные проживающие допускаются только по согласованию в пределах вместимости Дома.</w:t>
      </w:r>
    </w:p>
    <w:p w14:paraId="11CEA703">
      <w:pPr>
        <w:pStyle w:val="2"/>
        <w:jc w:val="both"/>
      </w:pPr>
      <w:r>
        <w:rPr>
          <w:rFonts w:ascii="Arial" w:hAnsi="Arial"/>
        </w:rPr>
        <w:t>8. Дети, животные и дополнительные условия</w:t>
      </w:r>
    </w:p>
    <w:p w14:paraId="0B646EBB">
      <w:pPr>
        <w:jc w:val="both"/>
      </w:pPr>
      <w:r>
        <w:rPr>
          <w:rFonts w:ascii="Arial" w:hAnsi="Arial"/>
          <w:sz w:val="18"/>
        </w:rPr>
        <w:t>8.1. Несовершеннолетние проживают под присмотром сопровождающих взрослых. Детские принадлежности предоставляются по предварительному согласованию при наличии; подробности доводятся до гостя отдельно.</w:t>
      </w:r>
    </w:p>
    <w:p w14:paraId="4C7B3DCC">
      <w:pPr>
        <w:jc w:val="both"/>
      </w:pPr>
      <w:r>
        <w:rPr>
          <w:rFonts w:ascii="Arial" w:hAnsi="Arial"/>
          <w:sz w:val="18"/>
        </w:rPr>
        <w:t>8.2. Проживание с домашними животными согласовывается заранее. Доплата: животное весом до 12 кг включительно — 1 300 руб./сутки; свыше 12 кг — 1 500 руб./сутки. Оставлять питомца без присмотра в доме и на территории запрещено; за причинённый питомцем ущерб ответственность наступает согласно закону.</w:t>
      </w:r>
    </w:p>
    <w:p w14:paraId="0795EF56">
      <w:pPr>
        <w:jc w:val="both"/>
      </w:pPr>
      <w:r>
        <w:rPr>
          <w:rFonts w:ascii="Arial" w:hAnsi="Arial"/>
          <w:color w:val="2B3531"/>
          <w:sz w:val="18"/>
        </w:rPr>
        <w:t>8.3. Для каждого Дома предусмотрены два бесплатных парковочных места — во дворе и рядом с территорией. Баня  доступн</w:t>
      </w:r>
      <w:r>
        <w:rPr>
          <w:color w:val="2B3531"/>
          <w:sz w:val="18"/>
          <w:lang w:val="ru-RU"/>
        </w:rPr>
        <w:t>а</w:t>
      </w:r>
      <w:r>
        <w:rPr>
          <w:rFonts w:hint="default"/>
          <w:color w:val="2B3531"/>
          <w:sz w:val="18"/>
          <w:lang w:val="ru-RU"/>
        </w:rPr>
        <w:t xml:space="preserve"> </w:t>
      </w:r>
      <w:r>
        <w:rPr>
          <w:rFonts w:ascii="Arial" w:hAnsi="Arial"/>
          <w:color w:val="2B3531"/>
          <w:sz w:val="18"/>
        </w:rPr>
        <w:t xml:space="preserve"> только по предварительному согласованию и при наличии свободного времени, оплачиваются отдельно. Пользование мангальной зоной можно согласовать по прибытии.</w:t>
      </w:r>
    </w:p>
    <w:p w14:paraId="70408566">
      <w:pPr>
        <w:pStyle w:val="2"/>
        <w:jc w:val="both"/>
      </w:pPr>
      <w:r>
        <w:rPr>
          <w:rFonts w:ascii="Arial" w:hAnsi="Arial"/>
        </w:rPr>
        <w:t>9. Правила пользования и безопасность</w:t>
      </w:r>
    </w:p>
    <w:p w14:paraId="4D40AA6F">
      <w:pPr>
        <w:jc w:val="both"/>
      </w:pPr>
      <w:r>
        <w:rPr>
          <w:rFonts w:ascii="Arial" w:hAnsi="Arial"/>
          <w:color w:val="2B3531"/>
          <w:sz w:val="18"/>
        </w:rPr>
        <w:t>9.1. Гость и проживающие соблюдают Правила проживания (Приложение № 1), правила пожарной безопасности и установленный режим тишины. Курение разрешается исключительно на веранде при соблюдении мер пожарной безопасности; использование кальянов запрещено в доме, на веранде и на территории. Несогласованные шумные вечеринки и мероприятия не допускаются.</w:t>
      </w:r>
    </w:p>
    <w:p w14:paraId="38B42706">
      <w:pPr>
        <w:jc w:val="both"/>
      </w:pPr>
      <w:r>
        <w:rPr>
          <w:rFonts w:ascii="Arial" w:hAnsi="Arial"/>
          <w:sz w:val="18"/>
        </w:rPr>
        <w:t>9.2. Кондиционеры используются только при закрытых окнах и дверях. Перед уходом гости выключают кондиционеры, освещение и неиспользуемые электроприборы, кроме приборов, предназначенных для непрерывной работы.</w:t>
      </w:r>
    </w:p>
    <w:p w14:paraId="17638C62">
      <w:pPr>
        <w:jc w:val="both"/>
      </w:pPr>
      <w:r>
        <w:rPr>
          <w:rFonts w:ascii="Arial" w:hAnsi="Arial"/>
          <w:sz w:val="18"/>
        </w:rPr>
        <w:t>9.3. Во время проживания доступ Исполнителя или администратора осуществляется с согласия проживающих; в иных случаях — только по основаниям, допускаемым законом, включая предусмотренные законом аварийные ситуации.</w:t>
      </w:r>
    </w:p>
    <w:p w14:paraId="791DCDCC">
      <w:pPr>
        <w:jc w:val="both"/>
      </w:pPr>
      <w:r>
        <w:rPr>
          <w:rFonts w:ascii="Arial" w:hAnsi="Arial"/>
          <w:sz w:val="18"/>
        </w:rPr>
        <w:t>9.4. Система пожарной сигнализации подаёт звуковой сигнал внутри Дома и передаёт тревогу охранной организации и администратору. Нельзя нажимать ручной извещатель без признаков пожара, вмешиваться в работу оборудования или разрешать детям использовать его для игр. При пожаре нужно эвакуироваться и позвонить 101 или 112. При виновном ложном вызове могут взыскиваться документально подтверждённые расходы на реагирование при наличии законных оснований; за добросовестное сообщение о пожаре ответственность не наступает.</w:t>
      </w:r>
    </w:p>
    <w:p w14:paraId="45A38A31">
      <w:pPr>
        <w:pStyle w:val="2"/>
        <w:jc w:val="both"/>
      </w:pPr>
      <w:r>
        <w:rPr>
          <w:rFonts w:ascii="Arial" w:hAnsi="Arial"/>
        </w:rPr>
        <w:t>10. Ответственность, повреждения и прекращение</w:t>
      </w:r>
    </w:p>
    <w:p w14:paraId="1DBC4DAF">
      <w:pPr>
        <w:jc w:val="both"/>
      </w:pPr>
      <w:r>
        <w:rPr>
          <w:rFonts w:ascii="Arial" w:hAnsi="Arial"/>
          <w:color w:val="2B3531"/>
          <w:sz w:val="18"/>
        </w:rPr>
        <w:t>10.1. При заселении Гость осматривает Дом, мебель и оборудование и сообщает администратору об обнаруженных видимых недостатках по возможности в течение 5 часов после заселения; о скрытых или позднее выявленных неисправностях — сразу после обнаружения. При повреждении имущества Гость своевременно уведомляет администратора; факт и размер ущерба устанавливаются с помощью законно полученных доказательств, в том числе фотографий, актов и документов о расходах. Пропуск пятичасового срока не лишает Гостя законных прав.</w:t>
      </w:r>
    </w:p>
    <w:p w14:paraId="07EDE437">
      <w:pPr>
        <w:jc w:val="both"/>
      </w:pPr>
      <w:r>
        <w:rPr>
          <w:rFonts w:ascii="Arial" w:hAnsi="Arial"/>
          <w:color w:val="2B3531"/>
          <w:sz w:val="18"/>
        </w:rPr>
        <w:t>10.2. Досрочный выезд сам по себе не влечёт автоматического изменения согласованной стоимости; возврат за неиспользованный период и прекращение договора определяются характером отношений, основаниями отказа и обязательными нормами законодательства. Гость уведомляет администратора о досрочном выезде.</w:t>
      </w:r>
    </w:p>
    <w:p w14:paraId="6D85C96A">
      <w:pPr>
        <w:jc w:val="both"/>
      </w:pPr>
      <w:r>
        <w:rPr>
          <w:rFonts w:ascii="Arial" w:hAnsi="Arial"/>
          <w:sz w:val="18"/>
        </w:rPr>
        <w:t>10.3. Исполнитель не вправе произвольно отменять подтверждённое бронирование. При невозможности передать Дом вследствие аварии или иного обстоятельства Исполнитель без промедления уведомляет Гостя и производит предусмотренные законом расчёты; по соглашению может быть предложена замена помещения или дат.</w:t>
      </w:r>
    </w:p>
    <w:p w14:paraId="5A7D6D32">
      <w:pPr>
        <w:pStyle w:val="2"/>
        <w:jc w:val="both"/>
      </w:pPr>
      <w:r>
        <w:rPr>
          <w:rFonts w:ascii="Arial" w:hAnsi="Arial"/>
        </w:rPr>
        <w:t>11. Персональные данные и обмен сообщениями</w:t>
      </w:r>
    </w:p>
    <w:p w14:paraId="33A4F696">
      <w:pPr>
        <w:jc w:val="both"/>
      </w:pPr>
      <w:r>
        <w:rPr>
          <w:rFonts w:ascii="Arial" w:hAnsi="Arial"/>
          <w:sz w:val="18"/>
        </w:rPr>
        <w:t>11.1. Персональные данные обрабатываются в целях оформления бронирования, заключения и исполнения договора, расчётов и предусмотренных законом обязанностей, в соответствии с опубликованной на tangerin.ru Политикой обработки персональных данных. Когда требуется согласие, оно оформляется отдельно.</w:t>
      </w:r>
    </w:p>
    <w:p w14:paraId="3C8AD8B1">
      <w:pPr>
        <w:jc w:val="both"/>
      </w:pPr>
      <w:r>
        <w:rPr>
          <w:rFonts w:ascii="Arial" w:hAnsi="Arial"/>
          <w:sz w:val="18"/>
        </w:rPr>
        <w:t>11.2. Стороны признают юридически значимыми сообщения, отправленные через согласованные контакты, если по ним можно достоверно определить отправителя, содержание сообщения и время направления. Для электронной формы договора способ подтверждения принятия Оферты должен позволять идентифицировать Гостя и сохранить её редакцию.</w:t>
      </w:r>
    </w:p>
    <w:p w14:paraId="6B56B1FF">
      <w:pPr>
        <w:pStyle w:val="2"/>
        <w:jc w:val="both"/>
      </w:pPr>
      <w:r>
        <w:rPr>
          <w:rFonts w:ascii="Arial" w:hAnsi="Arial"/>
        </w:rPr>
        <w:t>12. Споры и редакция оферты</w:t>
      </w:r>
    </w:p>
    <w:p w14:paraId="15586167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12.1. Разногласия стороны стремятся урегулировать путём переговоров и обмена письменными обращениями. Подсудность и сроки защиты прав определяются законом; </w:t>
      </w:r>
    </w:p>
    <w:p w14:paraId="04FB8DE9">
      <w:pPr>
        <w:jc w:val="both"/>
      </w:pPr>
      <w:r>
        <w:rPr>
          <w:rFonts w:ascii="Arial" w:hAnsi="Arial"/>
          <w:sz w:val="18"/>
        </w:rPr>
        <w:t>12.2. Исполнитель может публиковать новые редакции Оферты с датой начала их действия. К ранее подтверждённым бронированиям применяется редакция, действовавшая на момент заключения соответствующего договора, если стороны не согласовали иное.</w:t>
      </w:r>
    </w:p>
    <w:p w14:paraId="182BFEBB">
      <w:pPr>
        <w:pStyle w:val="2"/>
        <w:jc w:val="both"/>
      </w:pPr>
      <w:r>
        <w:rPr>
          <w:rFonts w:ascii="Arial" w:hAnsi="Arial"/>
        </w:rPr>
        <w:t>13. Приложения и приоритет документов</w:t>
      </w:r>
    </w:p>
    <w:p w14:paraId="16833C38">
      <w:pPr>
        <w:jc w:val="both"/>
      </w:pPr>
      <w:r>
        <w:rPr>
          <w:rFonts w:ascii="Arial" w:hAnsi="Arial"/>
          <w:sz w:val="18"/>
        </w:rPr>
        <w:t>13.1. Приложение № 1 — Правила проживания «ТАНЖЕРИН»; Приложение № 2 — Условия бронирования, оплаты и отмены бронирования. Ссылки на действующие файлы размещаются на tangerin.ru до акцепта.</w:t>
      </w:r>
    </w:p>
    <w:p w14:paraId="6EB82E1A">
      <w:pPr>
        <w:jc w:val="both"/>
      </w:pPr>
      <w:r>
        <w:rPr>
          <w:rFonts w:ascii="Arial" w:hAnsi="Arial"/>
          <w:sz w:val="18"/>
        </w:rPr>
        <w:t>13.2. Индивидуальные условия подтверждения бронирования (конкретный Исполнитель, Дом, даты, цена и проживающие) имеют приоритет перед общими положениями Оферты в пределах, допускаемых законом. Противоречащие обязательным нормам условия не применяются.</w:t>
      </w:r>
    </w:p>
    <w:sectPr>
      <w:headerReference r:id="rId5" w:type="default"/>
      <w:footerReference r:id="rId6" w:type="default"/>
      <w:pgSz w:w="12240" w:h="15840"/>
      <w:pgMar w:top="964" w:right="1191" w:bottom="879" w:left="119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A00002BF" w:usb1="68C7FCFB" w:usb2="00000010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33A2E8">
    <w:pPr>
      <w:pStyle w:val="26"/>
      <w:jc w:val="center"/>
    </w:pPr>
    <w:r>
      <w:rPr>
        <w:sz w:val="16"/>
      </w:rPr>
      <w:t>«ТАНЖЕРИН»   ·   tangerin.ru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9" w:lineRule="auto"/>
      </w:pPr>
      <w:r>
        <w:separator/>
      </w:r>
    </w:p>
  </w:footnote>
  <w:footnote w:type="continuationSeparator" w:id="1">
    <w:p>
      <w:pPr>
        <w:spacing w:before="0" w:after="0" w:line="26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902CBF">
    <w:pPr>
      <w:pStyle w:val="19"/>
      <w:jc w:val="center"/>
    </w:pPr>
    <w:r>
      <w:drawing>
        <wp:inline distT="0" distB="0" distL="114300" distR="114300">
          <wp:extent cx="773430" cy="773430"/>
          <wp:effectExtent l="0" t="0" r="762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" cy="77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B66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69" w:lineRule="auto"/>
    </w:pPr>
    <w:rPr>
      <w:rFonts w:ascii="Arial" w:hAnsi="Arial" w:eastAsiaTheme="minorEastAsia" w:cstheme="minorBidi"/>
      <w:color w:val="322B24"/>
      <w:sz w:val="19"/>
      <w:szCs w:val="22"/>
      <w:lang w:val="en-US" w:eastAsia="en-US" w:bidi="ar-SA"/>
    </w:rPr>
  </w:style>
  <w:style w:type="paragraph" w:styleId="2">
    <w:name w:val="heading 1"/>
    <w:basedOn w:val="1"/>
    <w:next w:val="1"/>
    <w:link w:val="41"/>
    <w:qFormat/>
    <w:uiPriority w:val="9"/>
    <w:pPr>
      <w:keepNext/>
      <w:keepLines/>
      <w:spacing w:before="200" w:after="100"/>
      <w:outlineLvl w:val="0"/>
    </w:pPr>
    <w:rPr>
      <w:rFonts w:asciiTheme="majorHAnsi" w:hAnsiTheme="majorHAnsi" w:eastAsiaTheme="majorEastAsia" w:cstheme="majorBidi"/>
      <w:b/>
      <w:bCs/>
      <w:color w:val="9B5222"/>
      <w:sz w:val="22"/>
      <w:szCs w:val="28"/>
    </w:rPr>
  </w:style>
  <w:style w:type="paragraph" w:styleId="3">
    <w:name w:val="heading 2"/>
    <w:basedOn w:val="1"/>
    <w:next w:val="1"/>
    <w:link w:val="42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8"/>
    <w:unhideWhenUsed/>
    <w:qFormat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7"/>
    <w:unhideWhenUsed/>
    <w:uiPriority w:val="99"/>
    <w:pPr>
      <w:spacing w:after="120"/>
    </w:pPr>
  </w:style>
  <w:style w:type="paragraph" w:styleId="21">
    <w:name w:val="macro"/>
    <w:link w:val="50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4"/>
    <w:qFormat/>
    <w:uiPriority w:val="10"/>
    <w:pPr>
      <w:pBdr>
        <w:bottom w:val="single" w:color="4F81BD" w:themeColor="accent1" w:sz="8" w:space="4"/>
      </w:pBdr>
      <w:spacing w:before="200" w:after="100" w:line="240" w:lineRule="auto"/>
      <w:contextualSpacing/>
    </w:pPr>
    <w:rPr>
      <w:rFonts w:asciiTheme="majorHAnsi" w:hAnsiTheme="majorHAnsi" w:eastAsiaTheme="majorEastAsia" w:cstheme="majorBidi"/>
      <w:b/>
      <w:color w:val="9B5222"/>
      <w:spacing w:val="5"/>
      <w:kern w:val="28"/>
      <w:sz w:val="30"/>
      <w:szCs w:val="52"/>
    </w:rPr>
  </w:style>
  <w:style w:type="paragraph" w:styleId="26">
    <w:name w:val="footer"/>
    <w:basedOn w:val="1"/>
    <w:link w:val="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uiPriority w:val="99"/>
    <w:pPr>
      <w:ind w:left="360" w:hanging="360"/>
      <w:contextualSpacing/>
    </w:pPr>
  </w:style>
  <w:style w:type="paragraph" w:styleId="30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paragraph" w:styleId="31">
    <w:name w:val="Body Text 3"/>
    <w:basedOn w:val="1"/>
    <w:link w:val="49"/>
    <w:unhideWhenUsed/>
    <w:uiPriority w:val="99"/>
    <w:pPr>
      <w:spacing w:after="120"/>
    </w:pPr>
    <w:rPr>
      <w:sz w:val="16"/>
      <w:szCs w:val="16"/>
    </w:rPr>
  </w:style>
  <w:style w:type="paragraph" w:styleId="32">
    <w:name w:val="Subtitle"/>
    <w:basedOn w:val="1"/>
    <w:next w:val="1"/>
    <w:link w:val="4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4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5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6">
    <w:name w:val="List 3"/>
    <w:basedOn w:val="1"/>
    <w:unhideWhenUsed/>
    <w:qFormat/>
    <w:uiPriority w:val="99"/>
    <w:pPr>
      <w:ind w:left="1080" w:hanging="360"/>
      <w:contextualSpacing/>
    </w:pPr>
  </w:style>
  <w:style w:type="table" w:styleId="37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8">
    <w:name w:val="Header Char"/>
    <w:basedOn w:val="11"/>
    <w:link w:val="19"/>
    <w:uiPriority w:val="99"/>
  </w:style>
  <w:style w:type="character" w:customStyle="1" w:styleId="39">
    <w:name w:val="Footer Char"/>
    <w:basedOn w:val="11"/>
    <w:link w:val="26"/>
    <w:qFormat/>
    <w:uiPriority w:val="99"/>
  </w:style>
  <w:style w:type="paragraph" w:styleId="4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1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2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3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4">
    <w:name w:val="Title Char"/>
    <w:basedOn w:val="11"/>
    <w:link w:val="25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5">
    <w:name w:val="Subtitle Char"/>
    <w:basedOn w:val="11"/>
    <w:link w:val="3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6">
    <w:name w:val="List Paragraph"/>
    <w:basedOn w:val="1"/>
    <w:qFormat/>
    <w:uiPriority w:val="34"/>
    <w:pPr>
      <w:ind w:left="720"/>
      <w:contextualSpacing/>
    </w:pPr>
  </w:style>
  <w:style w:type="character" w:customStyle="1" w:styleId="47">
    <w:name w:val="Body Text Char"/>
    <w:basedOn w:val="11"/>
    <w:link w:val="20"/>
    <w:qFormat/>
    <w:uiPriority w:val="99"/>
  </w:style>
  <w:style w:type="character" w:customStyle="1" w:styleId="48">
    <w:name w:val="Body Text 2 Char"/>
    <w:basedOn w:val="11"/>
    <w:link w:val="16"/>
    <w:uiPriority w:val="99"/>
  </w:style>
  <w:style w:type="character" w:customStyle="1" w:styleId="49">
    <w:name w:val="Body Text 3 Char"/>
    <w:basedOn w:val="11"/>
    <w:link w:val="31"/>
    <w:qFormat/>
    <w:uiPriority w:val="99"/>
    <w:rPr>
      <w:sz w:val="16"/>
      <w:szCs w:val="16"/>
    </w:rPr>
  </w:style>
  <w:style w:type="character" w:customStyle="1" w:styleId="50">
    <w:name w:val="Macro Text Char"/>
    <w:basedOn w:val="11"/>
    <w:link w:val="21"/>
    <w:qFormat/>
    <w:uiPriority w:val="99"/>
    <w:rPr>
      <w:rFonts w:ascii="Courier" w:hAnsi="Courier"/>
      <w:sz w:val="20"/>
      <w:szCs w:val="20"/>
    </w:rPr>
  </w:style>
  <w:style w:type="paragraph" w:styleId="51">
    <w:name w:val="Quote"/>
    <w:basedOn w:val="1"/>
    <w:next w:val="1"/>
    <w:link w:val="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Quote Char"/>
    <w:basedOn w:val="1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3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4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5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6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7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8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9">
    <w:name w:val="Intense Quote"/>
    <w:basedOn w:val="1"/>
    <w:next w:val="1"/>
    <w:link w:val="60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Intense Quote Char"/>
    <w:basedOn w:val="11"/>
    <w:link w:val="59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1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2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3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4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5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6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7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8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2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4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7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6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1631</Words>
  <Characters>11451</Characters>
  <Lines>0</Lines>
  <Paragraphs>0</Paragraphs>
  <TotalTime>29</TotalTime>
  <ScaleCrop>false</ScaleCrop>
  <LinksUpToDate>false</LinksUpToDate>
  <CharactersWithSpaces>13026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ПРАВО И ЗАЩИТА юридический центр</cp:lastModifiedBy>
  <dcterms:modified xsi:type="dcterms:W3CDTF">2026-10-28T07:20:22Z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eyJoZGlkIjoiNTU2ODgwM2Q1YjNhZDQxMzQ1NWNiOTI5OGRiYWFhZGYiLCJ1c2VySWQiOiI4MjQ2MzY1MDc3MjUifQ==</vt:lpwstr>
  </property>
  <property fmtid="{D5CDD505-2E9C-101B-9397-08002B2CF9AE}" pid="3" name="KSOProductBuildVer">
    <vt:lpwstr>1049-12.1.0.29162</vt:lpwstr>
  </property>
  <property fmtid="{D5CDD505-2E9C-101B-9397-08002B2CF9AE}" pid="4" name="ICV">
    <vt:lpwstr>15FBBB3D7C754BAEAC12EFC0B140EB4C_13</vt:lpwstr>
  </property>
</Properties>
</file>