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6CE4C">
      <w:pPr>
        <w:jc w:val="center"/>
      </w:pPr>
      <w:r>
        <w:drawing>
          <wp:inline distT="0" distB="0" distL="114300" distR="114300">
            <wp:extent cx="1023620" cy="1023620"/>
            <wp:effectExtent l="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D74E6">
      <w:pPr>
        <w:spacing w:after="0"/>
        <w:jc w:val="center"/>
      </w:pPr>
    </w:p>
    <w:p w14:paraId="273164FB">
      <w:pPr>
        <w:pStyle w:val="25"/>
        <w:jc w:val="center"/>
      </w:pPr>
      <w:r>
        <w:t>ПОЛИТИКА ОБРАБОТКИ ПЕРСОНАЛЬНЫХ ДАННЫХ</w:t>
      </w:r>
    </w:p>
    <w:p w14:paraId="14BBCB4D">
      <w:pPr>
        <w:jc w:val="center"/>
      </w:pPr>
      <w:r>
        <w:rPr>
          <w:i/>
        </w:rPr>
        <w:t>Сайт «ТАНЖЕРИН» — tangerin.ru</w:t>
      </w:r>
    </w:p>
    <w:p w14:paraId="399F69B2">
      <w:pPr>
        <w:pStyle w:val="2"/>
      </w:pPr>
      <w:r>
        <w:t>1. Общие положения</w:t>
      </w:r>
    </w:p>
    <w:p w14:paraId="6528A53D">
      <w:r>
        <w:t>1.1. Настоящая Политика определяет порядок и условия обработки персональных данных посетителей сайта «ТАНЖЕРИН» (tangerin.ru), заявителей и гостей, обращающихся по вопросам бронирования и проживания.</w:t>
      </w:r>
    </w:p>
    <w:p w14:paraId="70081459">
      <w:r>
        <w:t>1.2. Политика разработана в соответствии с Федеральным законом от 27.07.2006 № 152-ФЗ «О персональных данных».</w:t>
      </w:r>
    </w:p>
    <w:p w14:paraId="5FEEDEDD">
      <w:r>
        <w:t xml:space="preserve">1.3. Оператор персональных данных: </w:t>
      </w:r>
      <w:r>
        <w:rPr>
          <w:lang w:val="ru-RU"/>
        </w:rPr>
        <w:t>Яковлев</w:t>
      </w:r>
      <w:r>
        <w:rPr>
          <w:rFonts w:hint="default"/>
          <w:lang w:val="ru-RU"/>
        </w:rPr>
        <w:t xml:space="preserve"> Андрей Николаевич </w:t>
      </w:r>
      <w:r>
        <w:t xml:space="preserve"> ИНН</w:t>
      </w:r>
      <w:r>
        <w:rPr>
          <w:rFonts w:hint="default"/>
          <w:lang w:val="ru-RU"/>
        </w:rPr>
        <w:t xml:space="preserve"> 440111523299</w:t>
      </w:r>
      <w:r>
        <w:t>.</w:t>
      </w:r>
    </w:p>
    <w:p w14:paraId="33F85AE3">
      <w:r>
        <w:t>1.4. Контакт для обращений по вопросам персональных данных: sudja2000@list.ru. Почтовый адрес оператора для письменных обращений:  г. Кострома, ул. Октябрьская, д. 47.</w:t>
      </w:r>
    </w:p>
    <w:p w14:paraId="34DF1BA7">
      <w:r>
        <w:t>1.5. Оператор осуществляет обработку только в пределах своих полномочий и целей. Если бронирование или договор оформляется другим самостоятельным лицом, оно определяет собственные основания и условия обработки данных; передача ему данных осуществляется при наличии законного основания и с необходимым информированием гостя.</w:t>
      </w:r>
    </w:p>
    <w:p w14:paraId="4252F8D1">
      <w:pPr>
        <w:pStyle w:val="2"/>
      </w:pPr>
      <w:r>
        <w:t>2. Цели, категории данных и правовые основания</w:t>
      </w:r>
    </w:p>
    <w:p w14:paraId="5575A3DE">
      <w:r>
        <w:t>2.1. Для ответа на запросы и организации бронирования: имя, номер телефона, адрес электронной почты (если указан), предпочтительные даты, выбранный дом, число взрослых и детей, возраст детей (если сообщён), содержание обращения. Основание — действия по заключению договора по инициативе заявителя либо согласие, когда оно необходимо.</w:t>
      </w:r>
    </w:p>
    <w:p w14:paraId="43A9DF8B">
      <w:r>
        <w:t>2.2. Для заключения и исполнения договора проживания: фамилия, имя, отчество, необходимые сведения документа, удостоверяющего личность, контактные данные, сведения о сроках и составе проживающих, платежах и исполнении договора — в объёме, необходимом для договора и выполнения требований законодательства.</w:t>
      </w:r>
    </w:p>
    <w:p w14:paraId="1B348DF6">
      <w:r>
        <w:t>2.3. Для бухгалтерского и налогового учёта: сведения о договорах, платежах и документах, которые необходимо хранить по закону. Основание — выполнение установленных законодательством обязанностей.</w:t>
      </w:r>
    </w:p>
    <w:p w14:paraId="193B1A31">
      <w:r>
        <w:t>2.4. Для обеспечения работы и безопасности сайта могут обрабатываться технические данные (например, IP-</w:t>
      </w:r>
      <w:bookmarkStart w:id="0" w:name="_GoBack"/>
      <w:r>
        <w:t xml:space="preserve">адрес, сведения о браузере, cookie, дата и время обращения), если такие средства фактически используются. </w:t>
      </w:r>
      <w:bookmarkEnd w:id="0"/>
      <w:r>
        <w:t>Необязательные аналитические и рекламные технологии применяются только при соблюдении необходимых требований к информированию и получению согласий.</w:t>
      </w:r>
    </w:p>
    <w:p w14:paraId="1B297E9C">
      <w:r>
        <w:t>2.5. Рекламные и информационные рассылки осуществляются только при наличии соответствующего правового основания и необходимых отдельных согласий.</w:t>
      </w:r>
    </w:p>
    <w:p w14:paraId="69432BEF">
      <w:pPr>
        <w:pStyle w:val="2"/>
      </w:pPr>
      <w:r>
        <w:t>3. Принципы и действия с данными</w:t>
      </w:r>
    </w:p>
    <w:p w14:paraId="3903A0DA">
      <w:r>
        <w:t>3.1. Оператор обрабатывает персональные данные законно, добросовестно, для конкретных заранее определённых целей; не собирает сведения, избыточные по отношению к этим целям.</w:t>
      </w:r>
    </w:p>
    <w:p w14:paraId="5F09FC02">
      <w:r>
        <w:t>3.2. Обработка может включать сбор, запись, систематизацию, накопление, хранение, уточнение, использование, передачу при наличии законных оснований, блокирование, удаление и уничтожение данных.</w:t>
      </w:r>
    </w:p>
    <w:p w14:paraId="62051DDF">
      <w:r>
        <w:t>3.3. Данные обрабатываются с использованием средств автоматизации и без их использования. Доступ к ним предоставляется только уполномоченным лицам в пределах служебной необходимости.</w:t>
      </w:r>
    </w:p>
    <w:p w14:paraId="51DC9E4E">
      <w:pPr>
        <w:pStyle w:val="2"/>
      </w:pPr>
      <w:r>
        <w:t>4. Передача данных третьим лицам</w:t>
      </w:r>
    </w:p>
    <w:p w14:paraId="3A66D212">
      <w:r>
        <w:t>4.1. Передача данных допускается, если необходима для исполнения договора, предусмотрена законом либо осуществляется с надлежащим согласием лица.</w:t>
      </w:r>
    </w:p>
    <w:p w14:paraId="21C62109">
      <w:r>
        <w:t>4.2. При работе с техническими подрядчиками, хостингом, системами заявок, оплаты и коммуникаций оператор обеспечивает законное оформление поручений на обработку и соблюдение требований к защите данных.</w:t>
      </w:r>
    </w:p>
    <w:p w14:paraId="6ACD17AE">
      <w:r>
        <w:t>4.3. Передача данных иным самостоятельным лицам, оформляющим договор проживания, не осуществляется автоматически только на основании обращения на сайте: основание и необходимый объём такой передачи должны быть определены отдельно.</w:t>
      </w:r>
    </w:p>
    <w:p w14:paraId="7544D2FF">
      <w:r>
        <w:t>4.4. Трансграничная передача персональных данных при наличии соответствующей обработки осуществляется с соблюдением специальных требований законодательства Российской Федерации.</w:t>
      </w:r>
    </w:p>
    <w:p w14:paraId="4FFEFCAF">
      <w:pPr>
        <w:pStyle w:val="2"/>
      </w:pPr>
      <w:r>
        <w:t>5. Хранение и защита данных</w:t>
      </w:r>
    </w:p>
    <w:p w14:paraId="1D7791F0">
      <w:r>
        <w:t>5.1. Данные хранятся не дольше, чем необходимо для заявленных целей, за исключением сроков хранения, прямо предусмотренных законом или необходимых для защиты прав и законных интересов сторон.</w:t>
      </w:r>
    </w:p>
    <w:p w14:paraId="0A0B5935">
      <w:r>
        <w:t>5.2. Контактные сведения по обращениям, не завершившимся договором, удаляются или обезличиваются после достижения цели обращения и истечения обоснованного срока для рассмотрения возможных претензий, если нет иных законных оснований для хранения.</w:t>
      </w:r>
    </w:p>
    <w:p w14:paraId="6440184A">
      <w:r>
        <w:t>5.3. Документы договорного и расчётного учёта сохраняются в сроки, установленные применимым законодательством.</w:t>
      </w:r>
    </w:p>
    <w:p w14:paraId="1A3C79B0">
      <w:r>
        <w:t>5.4. Оператор принимает необходимые организационные и технические меры защиты от неправомерного доступа, уничтожения, изменения, распространения и иных неправомерных действий.</w:t>
      </w:r>
    </w:p>
    <w:p w14:paraId="5F6C9723">
      <w:r>
        <w:t>5.5. При сборе персональных данных граждан Российской Федерации через интернет оператор соблюдает применимые требования о локализации баз данных на территории Российской Федерации.</w:t>
      </w:r>
    </w:p>
    <w:p w14:paraId="1B6A94AD">
      <w:pPr>
        <w:pStyle w:val="2"/>
      </w:pPr>
      <w:r>
        <w:t>6. Права субъектов персональных данных</w:t>
      </w:r>
    </w:p>
    <w:p w14:paraId="354F4230">
      <w:r>
        <w:t>6.1. Лицо вправе получать информацию об обработке его данных, требовать уточнения, блокирования или уничтожения незаконно обрабатываемых либо неактуальных данных, а также отозвать согласие в случаях, когда обработка основана на нём.</w:t>
      </w:r>
    </w:p>
    <w:p w14:paraId="16AC8C39">
      <w:r>
        <w:t>6.2. Запрос направляется по контактам, указанным в разделе 1. Оператор рассматривает запросы и предоставляет ответ в порядке и сроки, установленные законодательством.</w:t>
      </w:r>
    </w:p>
    <w:p w14:paraId="5F2F81B2">
      <w:r>
        <w:t>6.3. Отзыв согласия не всегда требует прекращения обработки, если для её продолжения существует самостоятельное законное основание (например, обязанность хранить бухгалтерские документы).</w:t>
      </w:r>
    </w:p>
    <w:p w14:paraId="6A468FEC">
      <w:r>
        <w:t>6.4. Действия оператора могут быть обжалованы в уполномоченный орган по защите прав субъектов персональных данных или в суд.</w:t>
      </w:r>
    </w:p>
    <w:p w14:paraId="74625D4A">
      <w:pPr>
        <w:pStyle w:val="2"/>
      </w:pPr>
      <w:r>
        <w:t>7. Публикация и обновление</w:t>
      </w:r>
    </w:p>
    <w:p w14:paraId="6139CA3F">
      <w:r>
        <w:t>7.1. Актуальная редакция Политики размещается в открытом доступе на сайте tangerin.ru.</w:t>
      </w:r>
    </w:p>
    <w:p w14:paraId="6C025054">
      <w:r>
        <w:t>7.2. Изменения в Политику вносятся по мере изменения процессов обработки и требований законодательства. Новая редакция применяется с момента публикации, если в ней не указано иное.</w:t>
      </w:r>
    </w:p>
    <w:p w14:paraId="153D46AF">
      <w:r>
        <w:t>Дата редакции: 22 октября 2026 года.</w:t>
      </w:r>
    </w:p>
    <w:sectPr>
      <w:headerReference r:id="rId5" w:type="default"/>
      <w:footerReference r:id="rId6" w:type="default"/>
      <w:pgSz w:w="11906" w:h="16838"/>
      <w:pgMar w:top="760" w:right="964" w:bottom="737" w:left="9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A9A99">
    <w:pPr>
      <w:pStyle w:val="26"/>
      <w:jc w:val="center"/>
    </w:pPr>
    <w:r>
      <w:rPr>
        <w:sz w:val="16"/>
      </w:rPr>
      <w:t>tangerin.ru   •   Политика обработки персональных данных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1" w:lineRule="auto"/>
      </w:pPr>
      <w:r>
        <w:separator/>
      </w:r>
    </w:p>
  </w:footnote>
  <w:footnote w:type="continuationSeparator" w:id="1">
    <w:p>
      <w:pPr>
        <w:spacing w:before="0" w:after="0" w:line="271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4B7B5">
    <w:pPr>
      <w:pStyle w:val="19"/>
      <w:jc w:val="right"/>
    </w:pPr>
    <w:r>
      <w:rPr>
        <w:color w:val="9B643C"/>
      </w:rPr>
      <w:t>ТАНЖЕРИН  •  ПРАВОВАЯ ИНФОРМАЦИЯ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18D4E24"/>
    <w:rsid w:val="39EF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71" w:lineRule="auto"/>
    </w:pPr>
    <w:rPr>
      <w:rFonts w:ascii="Arial" w:hAnsi="Arial" w:eastAsiaTheme="minorEastAsia" w:cstheme="minorBidi"/>
      <w:color w:val="2C3F33"/>
      <w:sz w:val="19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180" w:after="80"/>
      <w:outlineLvl w:val="0"/>
    </w:pPr>
    <w:rPr>
      <w:rFonts w:asciiTheme="majorHAnsi" w:hAnsiTheme="majorHAnsi" w:eastAsiaTheme="majorEastAsia" w:cstheme="majorBidi"/>
      <w:b/>
      <w:bCs/>
      <w:color w:val="B05B27"/>
      <w:sz w:val="22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before="240" w:after="100" w:line="240" w:lineRule="auto"/>
      <w:contextualSpacing/>
    </w:pPr>
    <w:rPr>
      <w:rFonts w:asciiTheme="majorHAnsi" w:hAnsiTheme="majorHAnsi" w:eastAsiaTheme="majorEastAsia" w:cstheme="majorBidi"/>
      <w:b/>
      <w:color w:val="2D5246"/>
      <w:spacing w:val="5"/>
      <w:kern w:val="28"/>
      <w:sz w:val="32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qFormat/>
    <w:uiPriority w:val="99"/>
  </w:style>
  <w:style w:type="character" w:customStyle="1" w:styleId="47">
    <w:name w:val="Body Text 2 Char"/>
    <w:basedOn w:val="11"/>
    <w:link w:val="16"/>
    <w:qFormat/>
    <w:uiPriority w:val="99"/>
  </w:style>
  <w:style w:type="character" w:customStyle="1" w:styleId="48">
    <w:name w:val="Body Text 3 Char"/>
    <w:basedOn w:val="11"/>
    <w:link w:val="30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709</Words>
  <Characters>5096</Characters>
  <Lines>0</Lines>
  <Paragraphs>0</Paragraphs>
  <TotalTime>41</TotalTime>
  <ScaleCrop>false</ScaleCrop>
  <LinksUpToDate>false</LinksUpToDate>
  <CharactersWithSpaces>5768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ПРАВО И ЗАЩИТА юридический центр</cp:lastModifiedBy>
  <dcterms:modified xsi:type="dcterms:W3CDTF">2026-10-28T06:31:42Z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eyJoZGlkIjoiNTU2ODgwM2Q1YjNhZDQxMzQ1NWNiOTI5OGRiYWFhZGYiLCJ1c2VySWQiOiI4MjQ2MzY1MDc3MjUifQ==</vt:lpwstr>
  </property>
  <property fmtid="{D5CDD505-2E9C-101B-9397-08002B2CF9AE}" pid="3" name="KSOProductBuildVer">
    <vt:lpwstr>1049-12.1.0.29162</vt:lpwstr>
  </property>
  <property fmtid="{D5CDD505-2E9C-101B-9397-08002B2CF9AE}" pid="4" name="ICV">
    <vt:lpwstr>84AB12BDF2124B81BD83651F158122C5_13</vt:lpwstr>
  </property>
</Properties>
</file>