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7B1198">
      <w:pPr>
        <w:spacing w:after="20"/>
        <w:jc w:val="center"/>
      </w:pPr>
      <w:r>
        <w:drawing>
          <wp:inline distT="0" distB="0" distL="114300" distR="114300">
            <wp:extent cx="1115695" cy="1115695"/>
            <wp:effectExtent l="0" t="0" r="8255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16000" cy="11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63A3F">
      <w:pPr>
        <w:pStyle w:val="25"/>
        <w:jc w:val="center"/>
      </w:pPr>
      <w:r>
        <w:t>УСЛОВИЯ БРОНИРОВАНИЯ, ОПЛАТЫ И ОТМЕНЫ</w:t>
      </w:r>
    </w:p>
    <w:p w14:paraId="349F4BC1">
      <w:pPr>
        <w:jc w:val="center"/>
      </w:pPr>
      <w:r>
        <w:rPr>
          <w:i/>
        </w:rPr>
        <w:t xml:space="preserve">Приложение № 2 к договору-оферте </w:t>
      </w:r>
      <w:r>
        <w:rPr>
          <w:rFonts w:hint="default"/>
          <w:i/>
          <w:lang w:val="ru-RU"/>
        </w:rPr>
        <w:t xml:space="preserve"> гостевого дома </w:t>
      </w:r>
      <w:r>
        <w:rPr>
          <w:i/>
        </w:rPr>
        <w:t>«ТАНЖЕРИН»</w:t>
      </w:r>
    </w:p>
    <w:p w14:paraId="7DF49658">
      <w:pPr>
        <w:pStyle w:val="2"/>
      </w:pPr>
      <w:r>
        <w:t>1. Способы и подтверждение бронирования</w:t>
      </w:r>
    </w:p>
    <w:p w14:paraId="687B6A2B">
      <w:pPr>
        <w:pStyle w:val="22"/>
        <w:ind w:left="351" w:hanging="113"/>
      </w:pPr>
      <w:r>
        <w:t>Забронировать дом «Цитрус», «Лайм» или «Лимон» можно на сайте tangerin.ru, через агрегаторы, по телефону или в мессенджерах.</w:t>
      </w:r>
    </w:p>
    <w:p w14:paraId="5584C454">
      <w:pPr>
        <w:pStyle w:val="22"/>
        <w:ind w:left="351" w:hanging="113"/>
      </w:pPr>
      <w:r>
        <w:t>При бронировании необходимо указать выбранный дом, даты проживания, количество взрослых и детей (с возрастом каждого ребёнка), контактные данные и сведения о питомцах при их наличии.</w:t>
      </w:r>
    </w:p>
    <w:p w14:paraId="1781CD46">
      <w:pPr>
        <w:pStyle w:val="22"/>
        <w:ind w:left="351" w:hanging="113"/>
      </w:pPr>
      <w:r>
        <w:t>Согласованные дом, даты, количество гостей, полная стоимость и условия отмены фиксируются в подтверждении бронирования. При прямом бронировании оно подтверждается после поступления предоплаты и направления подтверждения гостю. Для бронирований через агрегаторы применяются доведённые до гостя условия соответствующего сервиса в части оплаты и отмены.</w:t>
      </w:r>
    </w:p>
    <w:p w14:paraId="4FD20191">
      <w:pPr>
        <w:pStyle w:val="2"/>
      </w:pPr>
      <w:r>
        <w:t>2. Стоимость и порядок оплаты</w:t>
      </w:r>
    </w:p>
    <w:p w14:paraId="1C5AC64E">
      <w:pPr>
        <w:pStyle w:val="22"/>
        <w:ind w:left="351" w:hanging="113"/>
        <w:jc w:val="left"/>
      </w:pPr>
      <w:r>
        <w:t xml:space="preserve">Предоплата при прямом бронировании составляет </w:t>
      </w:r>
      <w:r>
        <w:rPr>
          <w:rFonts w:hint="default"/>
          <w:lang w:val="ru-RU"/>
        </w:rPr>
        <w:t xml:space="preserve"> размер </w:t>
      </w:r>
      <w:r>
        <w:t xml:space="preserve"> стоимост</w:t>
      </w:r>
      <w:r>
        <w:rPr>
          <w:lang w:val="ru-RU"/>
        </w:rPr>
        <w:t>и</w:t>
      </w:r>
      <w:r>
        <w:rPr>
          <w:rFonts w:hint="default"/>
          <w:lang w:val="ru-RU"/>
        </w:rPr>
        <w:t xml:space="preserve">  первых суток  </w:t>
      </w:r>
      <w:r>
        <w:t xml:space="preserve"> проживания. Оставшиеся </w:t>
      </w:r>
      <w:r>
        <w:rPr>
          <w:rFonts w:hint="default"/>
          <w:lang w:val="ru-RU"/>
        </w:rPr>
        <w:t xml:space="preserve"> сумма </w:t>
      </w:r>
      <w:r>
        <w:t xml:space="preserve"> оплачиваются при заезде.</w:t>
      </w:r>
    </w:p>
    <w:p w14:paraId="5EE27298">
      <w:pPr>
        <w:pStyle w:val="22"/>
        <w:ind w:left="351" w:hanging="113"/>
        <w:jc w:val="left"/>
      </w:pPr>
      <w:r>
        <w:t>Цена согласовывается на весь период бронирования исходя из выбранного дома, дат и заявленного количества гостей. Отдельно оплачиваемые услуги не входят в указанную цену, если прямо не согласовано иное.</w:t>
      </w:r>
    </w:p>
    <w:p w14:paraId="4B5EC866">
      <w:pPr>
        <w:pStyle w:val="22"/>
        <w:ind w:left="351" w:hanging="113"/>
        <w:jc w:val="left"/>
      </w:pPr>
      <w:r>
        <w:t>При заезде дополнительно вносится возвратный страховой депозит 5 000 ₽. Условия его возврата указаны в Правилах проживания (Приложение № 1).</w:t>
      </w:r>
    </w:p>
    <w:p w14:paraId="4FAE7FDE">
      <w:pPr>
        <w:pStyle w:val="2"/>
      </w:pPr>
      <w:r>
        <w:t>3. Бесплатная отмена и возврат предоплаты</w:t>
      </w:r>
    </w:p>
    <w:p w14:paraId="514AC535">
      <w:pPr>
        <w:pStyle w:val="22"/>
        <w:ind w:left="351" w:hanging="113"/>
      </w:pPr>
      <w:r>
        <w:t>Для обычных дат бесплатная отмена возможна не позднее чем за 7 полных суток до установленного времени заезда.</w:t>
      </w:r>
    </w:p>
    <w:p w14:paraId="46EF29DD">
      <w:pPr>
        <w:pStyle w:val="22"/>
        <w:ind w:left="351" w:hanging="113"/>
      </w:pPr>
      <w:r>
        <w:t xml:space="preserve">Для бронирований, включающих новогодние или майские праздничные даты, бесплатная отмена возможна </w:t>
      </w:r>
      <w:r>
        <w:rPr>
          <w:lang w:val="ru-RU"/>
        </w:rPr>
        <w:t>по</w:t>
      </w:r>
      <w:r>
        <w:rPr>
          <w:rFonts w:hint="default"/>
          <w:lang w:val="ru-RU"/>
        </w:rPr>
        <w:t xml:space="preserve"> предварительному согласованию </w:t>
      </w:r>
      <w:r>
        <w:t>. Применимость этого условия и конкретные праздничные даты указываются гостю до оплаты в подтверждаемых условиях бронирования.</w:t>
      </w:r>
    </w:p>
    <w:p w14:paraId="56DE1130">
      <w:pPr>
        <w:pStyle w:val="22"/>
        <w:ind w:left="351" w:hanging="113"/>
      </w:pPr>
      <w:r>
        <w:t>При своевременной отмене предоплата возвращается полностью в течение 3 рабочих дней с получения уведомления об отмене</w:t>
      </w:r>
      <w:r>
        <w:rPr>
          <w:rFonts w:hint="default"/>
          <w:lang w:val="ru-RU"/>
        </w:rPr>
        <w:t xml:space="preserve"> </w:t>
      </w:r>
      <w:r>
        <w:t xml:space="preserve"> на карту, с которой она поступила.</w:t>
      </w:r>
    </w:p>
    <w:p w14:paraId="6DC72878">
      <w:pPr>
        <w:pStyle w:val="22"/>
        <w:ind w:left="351" w:hanging="113"/>
      </w:pPr>
      <w:r>
        <w:t>При более поздней отмене, если освобождённые даты будут повторно забронированы другими гостями на тот же период и по новому бронированию поступит предоплата, гостю возвращается 100% ранее внесённой предоплаты в течение 3 рабочих дней после её поступления, независимо от цены нового бронирования.</w:t>
      </w:r>
    </w:p>
    <w:p w14:paraId="2A230509">
      <w:pPr>
        <w:pStyle w:val="2"/>
      </w:pPr>
      <w:bookmarkStart w:id="0" w:name="_GoBack"/>
      <w:bookmarkEnd w:id="0"/>
      <w:r>
        <w:t>4. Изменение бронирования</w:t>
      </w:r>
    </w:p>
    <w:p w14:paraId="364C8207">
      <w:pPr>
        <w:pStyle w:val="22"/>
        <w:ind w:left="351" w:hanging="113"/>
      </w:pPr>
      <w:r>
        <w:t>Изменение дат или количества гостей возможно по предварительному согласованию не позднее чем за 3 полных суток до даты заезда, при наличии свободных дат и возможности размещения.</w:t>
      </w:r>
    </w:p>
    <w:p w14:paraId="3F3136FD">
      <w:pPr>
        <w:pStyle w:val="22"/>
        <w:ind w:left="351" w:hanging="113"/>
      </w:pPr>
      <w:r>
        <w:t>При согласованных изменениях стоимость пересчитывается по тарифам, действующим на новые даты и условия бронирования, в том числе при переносе с будних дней на выходные.</w:t>
      </w:r>
    </w:p>
    <w:p w14:paraId="2A0F2769">
      <w:pPr>
        <w:pStyle w:val="22"/>
        <w:ind w:left="351" w:hanging="113"/>
      </w:pPr>
      <w:r>
        <w:t>В день заезда и в период проживания уменьшение фактического количества гостей само по себе не является основанием для автоматического перерасчёта ранее согласованной общей стоимости. Увеличение количества гостей допускается только по согласованию, в пределах вместимости дома и с возможной доплатой.</w:t>
      </w:r>
    </w:p>
    <w:p w14:paraId="2314F2A2">
      <w:pPr>
        <w:pStyle w:val="2"/>
      </w:pPr>
      <w:r>
        <w:t>5. Проживание с детьми</w:t>
      </w:r>
    </w:p>
    <w:p w14:paraId="0C24B784">
      <w:pPr>
        <w:pStyle w:val="22"/>
        <w:ind w:left="351" w:hanging="113"/>
      </w:pPr>
      <w:r>
        <w:t>Дети младше одного года проживают бесплатно без предоставления отдельного спального места. При бронировании необходимо указать всех гостей, включая детей, и возраст каждого ребёнка.</w:t>
      </w:r>
    </w:p>
    <w:p w14:paraId="07018B02">
      <w:pPr>
        <w:pStyle w:val="2"/>
      </w:pPr>
      <w:r>
        <w:t>6. Отмена, досрочный выезд и уведомления</w:t>
      </w:r>
    </w:p>
    <w:p w14:paraId="65870C0F">
      <w:pPr>
        <w:pStyle w:val="22"/>
        <w:ind w:left="351" w:hanging="113"/>
      </w:pPr>
      <w:r>
        <w:t>Для отмены или изменения прямого бронирования гость направляет сообщение по тому каналу связи, через который оформлялась бронь, либо по контактам, указанным на tangerin.ru, указав даты и имя, на которое она оформлена.</w:t>
      </w:r>
    </w:p>
    <w:p w14:paraId="032D3F1F">
      <w:pPr>
        <w:pStyle w:val="22"/>
        <w:ind w:left="351" w:hanging="113"/>
      </w:pPr>
      <w:r>
        <w:t xml:space="preserve">Досрочный выезд сам по себе не означает автоматического перерасчёта стоимости за весь согласованный период. </w:t>
      </w:r>
    </w:p>
    <w:p w14:paraId="0EEC5738">
      <w:pPr>
        <w:pStyle w:val="22"/>
        <w:ind w:left="351" w:hanging="113"/>
      </w:pPr>
      <w:r>
        <w:t xml:space="preserve">Настоящие условия применяются совместно с договором-офертой и Правилами проживания (Приложение № 1). </w:t>
      </w:r>
    </w:p>
    <w:sectPr>
      <w:pgSz w:w="12240" w:h="15840"/>
      <w:pgMar w:top="765" w:right="1162" w:bottom="737" w:left="116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roman"/>
    <w:pitch w:val="default"/>
    <w:sig w:usb0="A00002BF" w:usb1="68C7FCFB" w:usb2="00000010" w:usb3="00000000" w:csb0="4002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18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8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4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2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66C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276" w:lineRule="auto"/>
    </w:pPr>
    <w:rPr>
      <w:rFonts w:ascii="Arial" w:hAnsi="Arial" w:eastAsiaTheme="minorEastAsia" w:cstheme="minorBidi"/>
      <w:color w:val="393733"/>
      <w:sz w:val="19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180" w:after="80"/>
      <w:outlineLvl w:val="0"/>
    </w:pPr>
    <w:rPr>
      <w:rFonts w:asciiTheme="majorHAnsi" w:hAnsiTheme="majorHAnsi" w:eastAsiaTheme="majorEastAsia" w:cstheme="majorBidi"/>
      <w:b/>
      <w:bCs/>
      <w:color w:val="A05627"/>
      <w:sz w:val="22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16">
    <w:name w:val="Body Text 2"/>
    <w:basedOn w:val="1"/>
    <w:link w:val="47"/>
    <w:unhideWhenUsed/>
    <w:uiPriority w:val="99"/>
    <w:pPr>
      <w:spacing w:after="120" w:line="480" w:lineRule="auto"/>
    </w:pPr>
  </w:style>
  <w:style w:type="paragraph" w:styleId="1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List Number 3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9">
    <w:name w:val="header"/>
    <w:basedOn w:val="1"/>
    <w:link w:val="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Body Text"/>
    <w:basedOn w:val="1"/>
    <w:link w:val="46"/>
    <w:unhideWhenUsed/>
    <w:uiPriority w:val="99"/>
    <w:pPr>
      <w:spacing w:after="120"/>
    </w:pPr>
  </w:style>
  <w:style w:type="paragraph" w:styleId="21">
    <w:name w:val="macro"/>
    <w:link w:val="49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2">
    <w:name w:val="List Bullet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4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5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before="180" w:after="80" w:line="240" w:lineRule="auto"/>
      <w:contextualSpacing/>
    </w:pPr>
    <w:rPr>
      <w:rFonts w:asciiTheme="majorHAnsi" w:hAnsiTheme="majorHAnsi" w:eastAsiaTheme="majorEastAsia" w:cstheme="majorBidi"/>
      <w:b/>
      <w:color w:val="375848"/>
      <w:spacing w:val="5"/>
      <w:kern w:val="28"/>
      <w:sz w:val="34"/>
      <w:szCs w:val="52"/>
    </w:rPr>
  </w:style>
  <w:style w:type="paragraph" w:styleId="26">
    <w:name w:val="footer"/>
    <w:basedOn w:val="1"/>
    <w:link w:val="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List Number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8">
    <w:name w:val="List Number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9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0">
    <w:name w:val="Body Text 3"/>
    <w:basedOn w:val="1"/>
    <w:link w:val="48"/>
    <w:unhideWhenUsed/>
    <w:qFormat/>
    <w:uiPriority w:val="99"/>
    <w:pPr>
      <w:spacing w:after="120"/>
    </w:pPr>
    <w:rPr>
      <w:sz w:val="16"/>
      <w:szCs w:val="16"/>
    </w:rPr>
  </w:style>
  <w:style w:type="paragraph" w:styleId="31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2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3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4">
    <w:name w:val="List 2"/>
    <w:basedOn w:val="1"/>
    <w:unhideWhenUsed/>
    <w:uiPriority w:val="99"/>
    <w:pPr>
      <w:ind w:left="720" w:hanging="360"/>
      <w:contextualSpacing/>
    </w:pPr>
  </w:style>
  <w:style w:type="paragraph" w:styleId="35">
    <w:name w:val="List 3"/>
    <w:basedOn w:val="1"/>
    <w:unhideWhenUsed/>
    <w:uiPriority w:val="99"/>
    <w:pPr>
      <w:ind w:left="1080" w:hanging="360"/>
      <w:contextualSpacing/>
    </w:pPr>
  </w:style>
  <w:style w:type="table" w:styleId="36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7">
    <w:name w:val="Header Char"/>
    <w:basedOn w:val="11"/>
    <w:link w:val="19"/>
    <w:uiPriority w:val="99"/>
  </w:style>
  <w:style w:type="character" w:customStyle="1" w:styleId="38">
    <w:name w:val="Footer Char"/>
    <w:basedOn w:val="11"/>
    <w:link w:val="26"/>
    <w:qFormat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itle Char"/>
    <w:basedOn w:val="11"/>
    <w:link w:val="25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itle Char"/>
    <w:basedOn w:val="11"/>
    <w:link w:val="3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Body Text Char"/>
    <w:basedOn w:val="11"/>
    <w:link w:val="20"/>
    <w:qFormat/>
    <w:uiPriority w:val="99"/>
  </w:style>
  <w:style w:type="character" w:customStyle="1" w:styleId="47">
    <w:name w:val="Body Text 2 Char"/>
    <w:basedOn w:val="11"/>
    <w:link w:val="16"/>
    <w:uiPriority w:val="99"/>
  </w:style>
  <w:style w:type="character" w:customStyle="1" w:styleId="48">
    <w:name w:val="Body Text 3 Char"/>
    <w:basedOn w:val="11"/>
    <w:link w:val="30"/>
    <w:uiPriority w:val="99"/>
    <w:rPr>
      <w:sz w:val="16"/>
      <w:szCs w:val="16"/>
    </w:rPr>
  </w:style>
  <w:style w:type="character" w:customStyle="1" w:styleId="49">
    <w:name w:val="Macro Text Char"/>
    <w:basedOn w:val="11"/>
    <w:link w:val="21"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Quote Char"/>
    <w:basedOn w:val="11"/>
    <w:link w:val="50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Intense Quote Char"/>
    <w:basedOn w:val="11"/>
    <w:link w:val="58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542</Words>
  <Characters>3573</Characters>
  <Lines>0</Lines>
  <Paragraphs>0</Paragraphs>
  <TotalTime>10</TotalTime>
  <ScaleCrop>false</ScaleCrop>
  <LinksUpToDate>false</LinksUpToDate>
  <CharactersWithSpaces>4088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ПРАВО И ЗАЩИТА юридический центр</cp:lastModifiedBy>
  <dcterms:modified xsi:type="dcterms:W3CDTF">2026-10-28T06:45:45Z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eyJoZGlkIjoiNTU2ODgwM2Q1YjNhZDQxMzQ1NWNiOTI5OGRiYWFhZGYiLCJ1c2VySWQiOiI4MjQ2MzY1MDc3MjUifQ==</vt:lpwstr>
  </property>
  <property fmtid="{D5CDD505-2E9C-101B-9397-08002B2CF9AE}" pid="3" name="KSOProductBuildVer">
    <vt:lpwstr>1049-12.1.0.29162</vt:lpwstr>
  </property>
  <property fmtid="{D5CDD505-2E9C-101B-9397-08002B2CF9AE}" pid="4" name="ICV">
    <vt:lpwstr>F650CAD1C0214FD694ED1E998E7F8422_13</vt:lpwstr>
  </property>
</Properties>
</file>